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B21CCA" w:rsidP="008F77F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9827C5">
              <w:rPr>
                <w:rFonts w:ascii="Times New Roman" w:hAnsi="Times New Roman"/>
                <w:sz w:val="20"/>
              </w:rPr>
              <w:t>Комплекса маятниковые качели («Мини-маятник»,  «Качели-Лодочки»)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B21CCA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48 084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097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B21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 w:rsidR="00B21CCA"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B21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 w:rsidR="00B21CCA"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.00</w:t>
            </w:r>
            <w:r w:rsidR="001949E6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D0C2D"/>
    <w:rsid w:val="005D7698"/>
    <w:rsid w:val="005E1AE1"/>
    <w:rsid w:val="005F2519"/>
    <w:rsid w:val="006B1A74"/>
    <w:rsid w:val="006D15C0"/>
    <w:rsid w:val="006D25BC"/>
    <w:rsid w:val="007326AF"/>
    <w:rsid w:val="00751220"/>
    <w:rsid w:val="007946D7"/>
    <w:rsid w:val="00796D64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36488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2021-04-05T13:34:00Z</dcterms:created>
  <dcterms:modified xsi:type="dcterms:W3CDTF">2021-04-05T13:34:00Z</dcterms:modified>
</cp:coreProperties>
</file>