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69B790FB" w14:textId="7D6C41E7" w:rsidR="0095584F" w:rsidRPr="003E52B9" w:rsidRDefault="00437BF9" w:rsidP="0021248E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1248E" w:rsidRPr="003E52B9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11.03.2020г.</w:t>
      </w:r>
    </w:p>
    <w:p w14:paraId="0FA3CBF7" w14:textId="0CBDF338" w:rsidR="0021248E" w:rsidRPr="003E52B9" w:rsidRDefault="00437BF9" w:rsidP="0021248E">
      <w:pPr>
        <w:pStyle w:val="a3"/>
        <w:tabs>
          <w:tab w:val="left" w:pos="-2552"/>
          <w:tab w:val="left" w:pos="-1985"/>
          <w:tab w:val="left" w:pos="-1276"/>
          <w:tab w:val="left" w:pos="-851"/>
          <w:tab w:val="left" w:pos="0"/>
          <w:tab w:val="left" w:pos="9639"/>
          <w:tab w:val="left" w:pos="9971"/>
          <w:tab w:val="left" w:pos="10934"/>
          <w:tab w:val="left" w:pos="11170"/>
          <w:tab w:val="left" w:pos="11743"/>
          <w:tab w:val="left" w:pos="12971"/>
          <w:tab w:val="left" w:pos="13703"/>
        </w:tabs>
        <w:ind w:right="69"/>
        <w:jc w:val="both"/>
        <w:rPr>
          <w:spacing w:val="-1"/>
          <w:sz w:val="24"/>
          <w:szCs w:val="24"/>
        </w:rPr>
      </w:pPr>
      <w:r w:rsidRPr="003E52B9">
        <w:rPr>
          <w:sz w:val="24"/>
          <w:szCs w:val="24"/>
        </w:rPr>
        <w:t xml:space="preserve">С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390E9E" w:rsidRPr="003E52B9">
        <w:rPr>
          <w:sz w:val="24"/>
          <w:szCs w:val="24"/>
        </w:rPr>
        <w:t xml:space="preserve">00 </w:t>
      </w:r>
      <w:r w:rsidRPr="003E52B9">
        <w:rPr>
          <w:sz w:val="24"/>
          <w:szCs w:val="24"/>
        </w:rPr>
        <w:t>мин.</w:t>
      </w:r>
      <w:r w:rsidRPr="003E52B9">
        <w:rPr>
          <w:spacing w:val="14"/>
          <w:sz w:val="24"/>
          <w:szCs w:val="24"/>
        </w:rPr>
        <w:t xml:space="preserve"> </w:t>
      </w:r>
      <w:r w:rsidR="0021248E" w:rsidRPr="003E52B9">
        <w:rPr>
          <w:color w:val="FF0000"/>
          <w:spacing w:val="-4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 </w:t>
      </w:r>
      <w:r w:rsidRPr="003E52B9">
        <w:rPr>
          <w:sz w:val="24"/>
          <w:szCs w:val="24"/>
        </w:rPr>
        <w:t xml:space="preserve">по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2A480D" w:rsidRPr="003E52B9">
        <w:rPr>
          <w:sz w:val="24"/>
          <w:szCs w:val="24"/>
        </w:rPr>
        <w:t>30</w:t>
      </w:r>
      <w:r w:rsidR="00390E9E" w:rsidRPr="003E52B9">
        <w:rPr>
          <w:sz w:val="24"/>
          <w:szCs w:val="24"/>
        </w:rPr>
        <w:t xml:space="preserve"> </w:t>
      </w:r>
      <w:r w:rsidRPr="003E52B9">
        <w:rPr>
          <w:sz w:val="24"/>
          <w:szCs w:val="24"/>
        </w:rPr>
        <w:t>мин.</w:t>
      </w:r>
      <w:r w:rsidRPr="003E52B9">
        <w:rPr>
          <w:spacing w:val="12"/>
          <w:sz w:val="24"/>
          <w:szCs w:val="24"/>
        </w:rPr>
        <w:t xml:space="preserve"> </w:t>
      </w:r>
      <w:r w:rsidR="0021248E" w:rsidRPr="003E52B9">
        <w:rPr>
          <w:color w:val="FF0000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</w:t>
      </w:r>
      <w:r w:rsidRPr="003E52B9">
        <w:rPr>
          <w:sz w:val="24"/>
          <w:szCs w:val="24"/>
        </w:rPr>
        <w:t xml:space="preserve">конкурсной комиссией МАУК «Парк Прибрежный» в целях выявления лучших условий исполнения договора, предложенных в заявках на участие в </w:t>
      </w:r>
      <w:r w:rsidRPr="003E52B9">
        <w:rPr>
          <w:spacing w:val="-1"/>
          <w:sz w:val="24"/>
          <w:szCs w:val="24"/>
        </w:rPr>
        <w:t>конкурсе</w:t>
      </w:r>
    </w:p>
    <w:p w14:paraId="5FCC21F4" w14:textId="77777777" w:rsidR="008203CC" w:rsidRPr="003E52B9" w:rsidRDefault="008203CC" w:rsidP="008203CC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E52B9">
        <w:rPr>
          <w:color w:val="FF0000"/>
          <w:sz w:val="24"/>
          <w:szCs w:val="24"/>
          <w:u w:val="single"/>
        </w:rPr>
        <w:t>на право размещения аттракциона «Семейный центр досуга» на территории парка «Прибрежный»</w:t>
      </w:r>
    </w:p>
    <w:p w14:paraId="6483544A" w14:textId="77777777" w:rsidR="0021248E" w:rsidRPr="003E52B9" w:rsidRDefault="0021248E" w:rsidP="0021248E">
      <w:pPr>
        <w:ind w:left="3415"/>
        <w:rPr>
          <w:i/>
          <w:sz w:val="24"/>
          <w:szCs w:val="24"/>
        </w:rPr>
      </w:pPr>
      <w:r w:rsidRPr="003E52B9">
        <w:rPr>
          <w:i/>
          <w:sz w:val="24"/>
          <w:szCs w:val="24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2. </w:t>
      </w:r>
      <w:proofErr w:type="spellStart"/>
      <w:r w:rsidRPr="003E52B9">
        <w:rPr>
          <w:bCs/>
          <w:sz w:val="24"/>
          <w:szCs w:val="24"/>
        </w:rPr>
        <w:t>Клемендеева</w:t>
      </w:r>
      <w:proofErr w:type="spellEnd"/>
      <w:r w:rsidRPr="003E52B9">
        <w:rPr>
          <w:bCs/>
          <w:sz w:val="24"/>
          <w:szCs w:val="24"/>
        </w:rPr>
        <w:t xml:space="preserve">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61E4DE0A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8203CC" w:rsidRPr="003E52B9">
        <w:rPr>
          <w:color w:val="FF0000"/>
          <w:sz w:val="24"/>
          <w:szCs w:val="24"/>
          <w:u w:val="single"/>
        </w:rPr>
        <w:t>ООО «ПИР»</w:t>
      </w:r>
      <w:r w:rsidRPr="003E52B9">
        <w:rPr>
          <w:sz w:val="24"/>
          <w:szCs w:val="24"/>
          <w:u w:val="single"/>
        </w:rPr>
        <w:tab/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222282E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8203CC" w:rsidRPr="003E52B9">
        <w:rPr>
          <w:color w:val="FF0000"/>
          <w:sz w:val="24"/>
          <w:szCs w:val="24"/>
          <w:u w:val="single"/>
        </w:rPr>
        <w:t>ООО «ПИР»</w:t>
      </w:r>
      <w:r w:rsidR="0021248E" w:rsidRPr="003E52B9">
        <w:rPr>
          <w:color w:val="FF0000"/>
          <w:sz w:val="24"/>
          <w:szCs w:val="24"/>
          <w:u w:val="single"/>
        </w:rPr>
        <w:t xml:space="preserve">, ИНН </w:t>
      </w:r>
      <w:r w:rsidR="008203CC" w:rsidRPr="003E52B9">
        <w:rPr>
          <w:color w:val="FF0000"/>
          <w:sz w:val="24"/>
          <w:szCs w:val="24"/>
          <w:u w:val="single"/>
        </w:rPr>
        <w:t>7328102214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 xml:space="preserve">    (указать наименование участника, </w:t>
      </w:r>
      <w:proofErr w:type="spellStart"/>
      <w:r w:rsidRPr="003E52B9">
        <w:rPr>
          <w:sz w:val="24"/>
          <w:szCs w:val="24"/>
        </w:rPr>
        <w:t>фио</w:t>
      </w:r>
      <w:proofErr w:type="spellEnd"/>
      <w:r w:rsidRPr="003E52B9">
        <w:rPr>
          <w:sz w:val="24"/>
          <w:szCs w:val="24"/>
        </w:rPr>
        <w:t xml:space="preserve"> участника физического лица, </w:t>
      </w:r>
      <w:r w:rsidR="00CD2ACB" w:rsidRPr="003E52B9">
        <w:rPr>
          <w:sz w:val="24"/>
          <w:szCs w:val="24"/>
        </w:rPr>
        <w:t>ИНН</w:t>
      </w:r>
      <w:r w:rsidRPr="003E52B9">
        <w:rPr>
          <w:sz w:val="24"/>
          <w:szCs w:val="24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 xml:space="preserve">     (указать наименование участника, </w:t>
      </w:r>
      <w:proofErr w:type="spellStart"/>
      <w:r w:rsidRPr="003E52B9">
        <w:rPr>
          <w:sz w:val="24"/>
          <w:szCs w:val="24"/>
        </w:rPr>
        <w:t>фио</w:t>
      </w:r>
      <w:proofErr w:type="spellEnd"/>
      <w:r w:rsidRPr="003E52B9">
        <w:rPr>
          <w:sz w:val="24"/>
          <w:szCs w:val="24"/>
        </w:rPr>
        <w:t xml:space="preserve"> участника физического лица, </w:t>
      </w:r>
      <w:r w:rsidR="00CD2ACB" w:rsidRPr="003E52B9">
        <w:rPr>
          <w:sz w:val="24"/>
          <w:szCs w:val="24"/>
        </w:rPr>
        <w:t>ИНН</w:t>
      </w:r>
      <w:r w:rsidRPr="003E52B9">
        <w:rPr>
          <w:sz w:val="24"/>
          <w:szCs w:val="24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51808526" w:rsidR="0095584F" w:rsidRPr="003E52B9" w:rsidRDefault="00437BF9" w:rsidP="008203C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8203CC" w:rsidRPr="003E52B9">
        <w:rPr>
          <w:color w:val="FF0000"/>
          <w:sz w:val="24"/>
          <w:szCs w:val="24"/>
          <w:u w:val="single"/>
        </w:rPr>
        <w:t>120900,00 рублей</w:t>
      </w:r>
    </w:p>
    <w:p w14:paraId="2CF5373E" w14:textId="18D824AE" w:rsidR="0095584F" w:rsidRPr="003E52B9" w:rsidRDefault="00CD2ACB" w:rsidP="008203C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Наименование</w:t>
      </w:r>
      <w:r w:rsidR="00437BF9" w:rsidRPr="003E52B9">
        <w:rPr>
          <w:sz w:val="24"/>
          <w:szCs w:val="24"/>
        </w:rPr>
        <w:t xml:space="preserve"> аттракциона</w:t>
      </w:r>
      <w:r w:rsidR="0021248E" w:rsidRPr="003E52B9">
        <w:rPr>
          <w:sz w:val="24"/>
          <w:szCs w:val="24"/>
        </w:rPr>
        <w:t xml:space="preserve"> </w:t>
      </w:r>
      <w:r w:rsidR="008203CC" w:rsidRPr="003E52B9">
        <w:rPr>
          <w:color w:val="FF0000"/>
          <w:sz w:val="24"/>
          <w:szCs w:val="24"/>
          <w:u w:val="single"/>
        </w:rPr>
        <w:t>«Семейный центр досуга»</w:t>
      </w:r>
    </w:p>
    <w:p w14:paraId="56551219" w14:textId="2317BD9C" w:rsidR="0095584F" w:rsidRPr="003E52B9" w:rsidRDefault="00437BF9" w:rsidP="0021248E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Сроки исполнения договора </w:t>
      </w:r>
      <w:r w:rsidR="0021248E" w:rsidRPr="003E52B9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  <w:bookmarkStart w:id="0" w:name="_GoBack"/>
      <w:bookmarkEnd w:id="0"/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29DE18F0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  <w:r w:rsidRPr="003E52B9">
              <w:rPr>
                <w:sz w:val="24"/>
                <w:szCs w:val="24"/>
              </w:rPr>
              <w:t xml:space="preserve">  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3E52B9" w:rsidRDefault="000E27F7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3E52B9" w:rsidRDefault="00437BF9" w:rsidP="0021248E">
      <w:pPr>
        <w:pStyle w:val="a3"/>
        <w:rPr>
          <w:rFonts w:ascii="Courier New" w:hAnsi="Courier New"/>
          <w:sz w:val="24"/>
          <w:szCs w:val="24"/>
        </w:rPr>
      </w:pPr>
      <w:r w:rsidRPr="003E52B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9BE4C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3E52B9">
        <w:rPr>
          <w:rFonts w:ascii="Courier New" w:hAnsi="Courier New"/>
          <w:position w:val="8"/>
          <w:sz w:val="24"/>
          <w:szCs w:val="24"/>
        </w:rPr>
        <w:t xml:space="preserve">1 </w:t>
      </w:r>
      <w:proofErr w:type="gramStart"/>
      <w:r w:rsidRPr="003E52B9">
        <w:rPr>
          <w:rFonts w:ascii="Courier New" w:hAnsi="Courier New"/>
          <w:sz w:val="24"/>
          <w:szCs w:val="24"/>
        </w:rPr>
        <w:t>В</w:t>
      </w:r>
      <w:proofErr w:type="gramEnd"/>
      <w:r w:rsidRPr="003E52B9">
        <w:rPr>
          <w:rFonts w:ascii="Courier New" w:hAnsi="Courier New"/>
          <w:sz w:val="24"/>
          <w:szCs w:val="24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F8CE" w14:textId="77777777" w:rsidR="0040332C" w:rsidRDefault="0040332C">
      <w:r>
        <w:separator/>
      </w:r>
    </w:p>
  </w:endnote>
  <w:endnote w:type="continuationSeparator" w:id="0">
    <w:p w14:paraId="46EB8B9E" w14:textId="77777777" w:rsidR="0040332C" w:rsidRDefault="0040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BE79" w14:textId="77777777" w:rsidR="0040332C" w:rsidRDefault="0040332C">
      <w:r>
        <w:separator/>
      </w:r>
    </w:p>
  </w:footnote>
  <w:footnote w:type="continuationSeparator" w:id="0">
    <w:p w14:paraId="7956CC39" w14:textId="77777777" w:rsidR="0040332C" w:rsidRDefault="0040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1721A7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C1832"/>
    <w:rsid w:val="004E4064"/>
    <w:rsid w:val="005D00F8"/>
    <w:rsid w:val="006C0F67"/>
    <w:rsid w:val="006E70C6"/>
    <w:rsid w:val="008203CC"/>
    <w:rsid w:val="00832FAD"/>
    <w:rsid w:val="00855322"/>
    <w:rsid w:val="008C13B6"/>
    <w:rsid w:val="008C2917"/>
    <w:rsid w:val="008E0163"/>
    <w:rsid w:val="0095584F"/>
    <w:rsid w:val="009A7858"/>
    <w:rsid w:val="009E363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E494E"/>
    <w:rsid w:val="00EF16A9"/>
    <w:rsid w:val="00F145FC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18</cp:revision>
  <cp:lastPrinted>2019-12-06T06:27:00Z</cp:lastPrinted>
  <dcterms:created xsi:type="dcterms:W3CDTF">2019-08-16T09:54:00Z</dcterms:created>
  <dcterms:modified xsi:type="dcterms:W3CDTF">2020-03-17T11:25:00Z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